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AD20" w14:textId="77777777" w:rsidR="002F7AF9" w:rsidRDefault="00803368">
      <w:pPr>
        <w:jc w:val="center"/>
        <w:rPr>
          <w:b/>
          <w:sz w:val="32"/>
          <w:szCs w:val="32"/>
        </w:rPr>
      </w:pPr>
      <w:r>
        <w:rPr>
          <w:b/>
          <w:color w:val="0D0D0D"/>
          <w:sz w:val="28"/>
          <w:szCs w:val="28"/>
          <w:highlight w:val="white"/>
        </w:rPr>
        <w:t xml:space="preserve">Start-ups für die Zukunft: Science4Life zeichnet die innovativsten Geschäftsmodelle aus </w:t>
      </w:r>
    </w:p>
    <w:p w14:paraId="79697971" w14:textId="77777777" w:rsidR="002F7AF9" w:rsidRDefault="002F7AF9">
      <w:pPr>
        <w:jc w:val="center"/>
        <w:rPr>
          <w:b/>
          <w:sz w:val="28"/>
          <w:szCs w:val="28"/>
        </w:rPr>
      </w:pPr>
    </w:p>
    <w:p w14:paraId="5E64D591" w14:textId="77777777" w:rsidR="002F7AF9" w:rsidRPr="00FD385C" w:rsidRDefault="00803368">
      <w:pPr>
        <w:shd w:val="clear" w:color="auto" w:fill="FFFFFF"/>
        <w:jc w:val="both"/>
        <w:rPr>
          <w:b/>
          <w:lang w:val="en-US"/>
        </w:rPr>
      </w:pPr>
      <w:r>
        <w:rPr>
          <w:b/>
        </w:rPr>
        <w:t xml:space="preserve">Von nachhaltigen Kühltechnologien und Wasserstoffspeicherung </w:t>
      </w:r>
      <w:r>
        <w:rPr>
          <w:b/>
          <w:color w:val="0D0D0D"/>
        </w:rPr>
        <w:t>bis hin zu Innovationen bei Wundheilung und Immunsystem</w:t>
      </w:r>
      <w:r>
        <w:rPr>
          <w:b/>
        </w:rPr>
        <w:t xml:space="preserve">: Die Gewinnerteams des Science4Life Businessplan-Wettbewerbs stehen fest. </w:t>
      </w:r>
      <w:r w:rsidRPr="00FD385C">
        <w:rPr>
          <w:b/>
          <w:lang w:val="en-US"/>
        </w:rPr>
        <w:t xml:space="preserve">ResCure gewinnt beim Science4Life Venture Cup. Beim Science4Life Energy Cup gewinnt die ILLUTHERM GmbH. </w:t>
      </w:r>
    </w:p>
    <w:p w14:paraId="5D61FCB5" w14:textId="77777777" w:rsidR="002F7AF9" w:rsidRPr="00FD385C" w:rsidRDefault="002F7AF9">
      <w:pPr>
        <w:shd w:val="clear" w:color="auto" w:fill="FFFFFF"/>
        <w:jc w:val="both"/>
        <w:rPr>
          <w:b/>
          <w:lang w:val="en-US"/>
        </w:rPr>
      </w:pPr>
    </w:p>
    <w:p w14:paraId="13288E36" w14:textId="77777777" w:rsidR="002F7AF9" w:rsidRDefault="00803368">
      <w:pPr>
        <w:spacing w:after="120"/>
        <w:jc w:val="both"/>
      </w:pPr>
      <w:r>
        <w:rPr>
          <w:i/>
        </w:rPr>
        <w:t>Frankfurt am Main, 2</w:t>
      </w:r>
      <w:r>
        <w:rPr>
          <w:i/>
        </w:rPr>
        <w:t xml:space="preserve">. Juli 2024. </w:t>
      </w:r>
      <w:r>
        <w:t>Zukunftsweisende Lösungen im Bereich klimaneutraler Energieträger, Medizin und industrieller Lösungen: Die teilnehmenden Teams der Businessplanphase von Science4Life adressieren mit ihren innovativen Lösungen aktuelle Probleme. Die Gründerinit</w:t>
      </w:r>
      <w:r>
        <w:t>iative Science4Life, eine Initiative der Hessischen Landesregierung und des Gesundheitsunternehmens Sanofi, fördert Start-ups aus den Bereichen Life Sciences, Chemie und Energie und unterstützt sie beim erfolgreichen Start in die Wirtschaft. In der 26. Run</w:t>
      </w:r>
      <w:r>
        <w:t>de des Businessplan-Wettbewerbs wurden die besten Gründerteams aus insgesamt 69 Einreichungen prämiert. Für Kaweh Mansoori, Hessischer Minister für Wirtschaft, Energie, Verkehr, Wohnen und ländlichen Raum, sind Jungunternehmen ein entscheidender Faktor für</w:t>
      </w:r>
      <w:r>
        <w:t xml:space="preserve"> wirtschaftliche Fortschritte: „Start-ups sind innovativ, sie schließen unternehmerische Lücken und setzen nicht selten neue Standards bei Technologie und Geschäftsmodellen. Damit tragen sie zur Resilienz unserer Wirtschaft bei, stärken Hessen und Deutschl</w:t>
      </w:r>
      <w:r>
        <w:t>and als wettbewerbsfähigen Standort und schaffen zusätzlich sichere Arbeitsplätze. Die Unterstützung vielversprechender Geschäftsmodelle durch den Businessplan-Wettbewerb Science4Life ist demnach immer auch eine wichtige Investition in die Zukunft.“ Dr. Je</w:t>
      </w:r>
      <w:r>
        <w:t>ns Atzrodt, Head of R&amp;D Operations Germany bei Sanofi in Deutschland, betont die Rolle, die Start-ups für die Verbesserung der gesundheitlichen Versorgung haben: „Die Arbeit von Start-u</w:t>
      </w:r>
      <w:r>
        <w:rPr>
          <w:highlight w:val="white"/>
        </w:rPr>
        <w:t>ps ist unglaublich wichtig, weil sie durch ihre Agilität und Innovation</w:t>
      </w:r>
      <w:r>
        <w:rPr>
          <w:highlight w:val="white"/>
        </w:rPr>
        <w:t xml:space="preserve"> das Gesundheitswesen nachhaltig verändern. Von patientenzentrierter Versorgung, maßgeschneiderter Therapien bis hin zu digitalen Gesundheitslösungen, die eine schnellere und effizientere Betreuung möglich machen, verbessern sie den Status quo</w:t>
      </w:r>
      <w:r>
        <w:rPr>
          <w:color w:val="0D0D0D"/>
          <w:highlight w:val="white"/>
        </w:rPr>
        <w:t>.”</w:t>
      </w:r>
    </w:p>
    <w:p w14:paraId="15E47B05" w14:textId="77777777" w:rsidR="002F7AF9" w:rsidRDefault="002F7AF9">
      <w:pPr>
        <w:jc w:val="both"/>
        <w:rPr>
          <w:i/>
        </w:rPr>
      </w:pPr>
    </w:p>
    <w:p w14:paraId="79503AA4" w14:textId="77777777" w:rsidR="002F7AF9" w:rsidRDefault="00803368">
      <w:pPr>
        <w:jc w:val="both"/>
        <w:rPr>
          <w:b/>
        </w:rPr>
      </w:pPr>
      <w:r>
        <w:rPr>
          <w:b/>
        </w:rPr>
        <w:t>Kosteneff</w:t>
      </w:r>
      <w:r>
        <w:rPr>
          <w:b/>
        </w:rPr>
        <w:t>iziente Wasserstoffspeicherung, innovative Medizin und industrielle Lösungen: Die Gewinner des Science4Life Venture Cup</w:t>
      </w:r>
    </w:p>
    <w:p w14:paraId="15E69EE4" w14:textId="77777777" w:rsidR="002F7AF9" w:rsidRDefault="002F7AF9">
      <w:pPr>
        <w:jc w:val="both"/>
        <w:rPr>
          <w:b/>
        </w:rPr>
      </w:pPr>
    </w:p>
    <w:p w14:paraId="4B6A474D" w14:textId="77777777" w:rsidR="002F7AF9" w:rsidRDefault="00803368">
      <w:pPr>
        <w:jc w:val="both"/>
      </w:pPr>
      <w:hyperlink r:id="rId7">
        <w:r>
          <w:rPr>
            <w:color w:val="1155CC"/>
            <w:u w:val="single"/>
          </w:rPr>
          <w:t>ResCure</w:t>
        </w:r>
      </w:hyperlink>
      <w:r>
        <w:t xml:space="preserve"> nutzt ein neuartiges Polymermaterial, um erstmals die überschießende Entzündung in</w:t>
      </w:r>
      <w:r>
        <w:t xml:space="preserve"> der chronischen Wunde ursächlich zu bekämpfen. Dabei werden, anders als bei konventionellen Wundauflagen, störende Entzündungsfaktoren über einen rein physikalischen Prozess gebunden und somit die Heilung der Patienten ermöglicht und das Gesundheitssystem</w:t>
      </w:r>
      <w:r>
        <w:t xml:space="preserve"> entlastet. fiberior hat ein neues Fertigungsverfahren zur Herstellung von Bauteilen aus Faser-Thermoplast-Verbunden entwickelt. Hierdurch können diese Hochleistungswerkstoffe signifikant kostengünstiger und nachhaltiger als bisher verarbeitet werden. Die </w:t>
      </w:r>
      <w:r>
        <w:t xml:space="preserve">Idee zum Verfahren stammt aus der Überlegung, Rohrleitungen zum Transport </w:t>
      </w:r>
      <w:r>
        <w:lastRenderedPageBreak/>
        <w:t xml:space="preserve">von Wasserstoff kostengünstiger und leistungsfähiger als die am Markt etablierten Produkte anzubieten. </w:t>
      </w:r>
      <w:hyperlink r:id="rId8">
        <w:r>
          <w:rPr>
            <w:color w:val="1155CC"/>
            <w:u w:val="single"/>
          </w:rPr>
          <w:t>CeraSleeve</w:t>
        </w:r>
      </w:hyperlink>
      <w:r>
        <w:t xml:space="preserve"> ist </w:t>
      </w:r>
      <w:r>
        <w:t xml:space="preserve">eine kürzlich patentierte, kreislauffähige Materialinnovation zur Herstellung von nassfestem und wasserabweisendem Papier. </w:t>
      </w:r>
      <w:proofErr w:type="gramStart"/>
      <w:r>
        <w:t>Entgegen konventioneller Methoden</w:t>
      </w:r>
      <w:proofErr w:type="gramEnd"/>
      <w:r>
        <w:t xml:space="preserve"> wird auf den Einsatz synthetischer Harze und Kunststoffe verzichtet, was erstmals ein vollständiges</w:t>
      </w:r>
      <w:r>
        <w:t xml:space="preserve"> Recycling ermöglicht. Die </w:t>
      </w:r>
      <w:hyperlink r:id="rId9">
        <w:r>
          <w:rPr>
            <w:color w:val="1155CC"/>
            <w:u w:val="single"/>
          </w:rPr>
          <w:t>TENTA VISION GmbH</w:t>
        </w:r>
      </w:hyperlink>
      <w:r>
        <w:t xml:space="preserve"> entwickelt eine Technik zur Echtzeit-Erkennung von Schwachstellen in Bauteilen, die bisher unentdeckt geblieben sind. Die Technik kommt ursprünglich aus der Raumfahr</w:t>
      </w:r>
      <w:r>
        <w:t>t, wurde von Dr.-Ing. Christopher Petry weiterentwickelt, ist patentiert und nun erstmals industriell nutzbar. Mit der Technik möchte TENTA VISION die Fertigungsindustrie branchenübergreifend revolutionieren, damit fehlerhaft produzierte Teile der Vergange</w:t>
      </w:r>
      <w:r>
        <w:t xml:space="preserve">nheit angehören. </w:t>
      </w:r>
      <w:hyperlink r:id="rId10">
        <w:r>
          <w:rPr>
            <w:color w:val="1155CC"/>
            <w:u w:val="single"/>
          </w:rPr>
          <w:t>QUASAR Therapeutics</w:t>
        </w:r>
      </w:hyperlink>
      <w:r>
        <w:t xml:space="preserve"> entwickelt innovative Regulatoren des Komplementsystems, um Menschen zu helfen, die unter seltenen, aber lebensbedrohlichen Krankheiten leiden. QUA</w:t>
      </w:r>
      <w:r>
        <w:t>SAR löst die Probleme zugelassener Inhibitoren, zum Beispiel, dass manche Patienten trotz Behandlung weiterhin unter Symptomen leiden und komplexe Krankheiten bisher nicht behandelt werden können. Die Idee basiert auf jahrelanger Forschung des Universitäts</w:t>
      </w:r>
      <w:r>
        <w:t>klinikums Ulm.</w:t>
      </w:r>
    </w:p>
    <w:p w14:paraId="473E30D6" w14:textId="77777777" w:rsidR="002F7AF9" w:rsidRDefault="002F7AF9">
      <w:pPr>
        <w:jc w:val="both"/>
      </w:pPr>
    </w:p>
    <w:p w14:paraId="37E44FBE" w14:textId="77777777" w:rsidR="002F7AF9" w:rsidRDefault="00803368">
      <w:pPr>
        <w:jc w:val="both"/>
        <w:rPr>
          <w:b/>
        </w:rPr>
      </w:pPr>
      <w:r>
        <w:rPr>
          <w:b/>
        </w:rPr>
        <w:t>Science4Life Energy Cup: Gewinner präsentieren zukunftsweisende Energietechnologien</w:t>
      </w:r>
    </w:p>
    <w:p w14:paraId="4CD4093C" w14:textId="77777777" w:rsidR="002F7AF9" w:rsidRDefault="002F7AF9">
      <w:pPr>
        <w:jc w:val="both"/>
        <w:rPr>
          <w:b/>
        </w:rPr>
      </w:pPr>
    </w:p>
    <w:p w14:paraId="7D731B22" w14:textId="77777777" w:rsidR="002F7AF9" w:rsidRDefault="00803368">
      <w:pPr>
        <w:shd w:val="clear" w:color="auto" w:fill="FFFFFF"/>
        <w:spacing w:line="240" w:lineRule="auto"/>
        <w:jc w:val="both"/>
        <w:rPr>
          <w:color w:val="FF0000"/>
        </w:rPr>
      </w:pPr>
      <w:r>
        <w:t>Die</w:t>
      </w:r>
      <w:r>
        <w:rPr>
          <w:b/>
        </w:rPr>
        <w:t xml:space="preserve"> </w:t>
      </w:r>
      <w:hyperlink r:id="rId11">
        <w:r>
          <w:rPr>
            <w:color w:val="1155CC"/>
            <w:u w:val="single"/>
          </w:rPr>
          <w:t>ILLUTHERM GmbH</w:t>
        </w:r>
      </w:hyperlink>
      <w:r>
        <w:t xml:space="preserve"> will die industriellen CO2-Emissionen und Energieverbräuche reduzieren, indem sie Materialie</w:t>
      </w:r>
      <w:r>
        <w:t>n wie Keramik und Zement mittels intensivem blauem LED-Lichts aus grünem Strom auf hohe Temperaturen erhitzen. Die Idee ist auf der Suche nach einem schnellen Brenn-Verfahren für Keramiken entstanden. Vor einigen Jahren wäre sie noch nicht technisch umsetz</w:t>
      </w:r>
      <w:r>
        <w:t xml:space="preserve">bar gewesen, weil die erforderlichen Lichtquellen noch nicht existierten. Die </w:t>
      </w:r>
      <w:hyperlink r:id="rId12">
        <w:r>
          <w:rPr>
            <w:color w:val="1155CC"/>
            <w:u w:val="single"/>
          </w:rPr>
          <w:t>Hydrogena GmbH</w:t>
        </w:r>
      </w:hyperlink>
      <w:r>
        <w:t xml:space="preserve"> entwickelt durch Materialinnovationen und einen patentierten Prozess Brennstoffzellen/Elektrolysezellen, die </w:t>
      </w:r>
      <w:proofErr w:type="gramStart"/>
      <w:r>
        <w:t>10 Mal</w:t>
      </w:r>
      <w:proofErr w:type="gramEnd"/>
      <w:r>
        <w:t xml:space="preserve"> län</w:t>
      </w:r>
      <w:r>
        <w:t xml:space="preserve">ger halten und 20 Prozent effizienter sind, um grünen Wasserstoff wettbewerbsfähig zu machen. Die </w:t>
      </w:r>
      <w:hyperlink r:id="rId13">
        <w:r>
          <w:rPr>
            <w:color w:val="1155CC"/>
            <w:u w:val="single"/>
          </w:rPr>
          <w:t>AdaptX Systems GmbH</w:t>
        </w:r>
      </w:hyperlink>
      <w:r>
        <w:t xml:space="preserve"> entwickelt eine patentierte Kühltechnologie für die Metallbearbeitung mit Werkzeugmaschinen. Die I</w:t>
      </w:r>
      <w:r>
        <w:t xml:space="preserve">dee zur Gründung entstand aus einem Forschungsprojekt an der TU Berlin. Mit der Lösung lassen sich der CO₂-Ausstoß um bis zu 90 Prozent, die Kosten um bis zu 16 Prozent senken und das Gesundheitsrisiko für Mitarbeitende eliminieren. </w:t>
      </w:r>
    </w:p>
    <w:p w14:paraId="43E4ED79" w14:textId="77777777" w:rsidR="002F7AF9" w:rsidRDefault="002F7AF9">
      <w:pPr>
        <w:spacing w:after="120"/>
        <w:jc w:val="both"/>
        <w:rPr>
          <w:b/>
        </w:rPr>
      </w:pPr>
    </w:p>
    <w:p w14:paraId="40771A31" w14:textId="77777777" w:rsidR="002F7AF9" w:rsidRDefault="00803368">
      <w:pPr>
        <w:shd w:val="clear" w:color="auto" w:fill="FFFFFF"/>
        <w:spacing w:after="360"/>
        <w:jc w:val="both"/>
        <w:rPr>
          <w:b/>
        </w:rPr>
      </w:pPr>
      <w:r>
        <w:rPr>
          <w:b/>
        </w:rPr>
        <w:t>Die Gewinner der Busi</w:t>
      </w:r>
      <w:r>
        <w:rPr>
          <w:b/>
        </w:rPr>
        <w:t>nessplanphase des Science4Life Venture Cup 2024:</w:t>
      </w:r>
    </w:p>
    <w:p w14:paraId="34349E79" w14:textId="77777777" w:rsidR="002F7AF9" w:rsidRDefault="00803368" w:rsidP="00FD385C">
      <w:pPr>
        <w:shd w:val="clear" w:color="auto" w:fill="FFFFFF"/>
        <w:spacing w:after="360"/>
      </w:pPr>
      <w:r>
        <w:t>1. Platz, dotiert mit 25.000 Euro, geht an ResCure aus Dresden</w:t>
      </w:r>
      <w:r>
        <w:br/>
        <w:t>2. Platz, dotiert mit 10.000 Euro, geht an fiberior aus Kaiserslautern</w:t>
      </w:r>
      <w:r>
        <w:br/>
      </w:r>
      <w:r>
        <w:t>3. Platz, dotiert mit 5.000 Euro, geht an CeraSleeve aus Darmstadt</w:t>
      </w:r>
      <w:r>
        <w:br/>
        <w:t>4. Platz, dotiert mit 3.000 Euro, geht an TENTA VISION aus Trier</w:t>
      </w:r>
      <w:r>
        <w:br/>
        <w:t>5. Platz, dotiert mit 2.000 Euro, geht an QUASAR Therapeutics aus Ulm</w:t>
      </w:r>
    </w:p>
    <w:p w14:paraId="61B0452C" w14:textId="77777777" w:rsidR="002F7AF9" w:rsidRDefault="00803368">
      <w:pPr>
        <w:shd w:val="clear" w:color="auto" w:fill="FFFFFF"/>
        <w:spacing w:after="360"/>
        <w:jc w:val="both"/>
        <w:rPr>
          <w:b/>
        </w:rPr>
      </w:pPr>
      <w:r>
        <w:rPr>
          <w:b/>
        </w:rPr>
        <w:t>Die Gewinner der Businessplanphase des Science4Life En</w:t>
      </w:r>
      <w:r>
        <w:rPr>
          <w:b/>
        </w:rPr>
        <w:t>ergy Cup 2024:</w:t>
      </w:r>
    </w:p>
    <w:p w14:paraId="425A922F" w14:textId="77777777" w:rsidR="002F7AF9" w:rsidRDefault="00803368" w:rsidP="00FD385C">
      <w:pPr>
        <w:shd w:val="clear" w:color="auto" w:fill="FFFFFF"/>
        <w:spacing w:after="360"/>
      </w:pPr>
      <w:r>
        <w:lastRenderedPageBreak/>
        <w:t>1. Platz, dotiert mit 10.000 Euro, geht an ILLUTHERM aus Darmstadt</w:t>
      </w:r>
      <w:r>
        <w:br/>
        <w:t>2. Platz, dotiert mit 5.000 Euro, geht an Hydrogenea aus Gelsenkirchen</w:t>
      </w:r>
      <w:r>
        <w:br/>
        <w:t>3. Platz, dotiert mit 2.500 Euro, geht an AdaptX Systems aus Berlin</w:t>
      </w:r>
    </w:p>
    <w:p w14:paraId="27A6EFD0" w14:textId="77777777" w:rsidR="002F7AF9" w:rsidRDefault="002F7AF9">
      <w:pPr>
        <w:rPr>
          <w:b/>
        </w:rPr>
      </w:pPr>
    </w:p>
    <w:p w14:paraId="4A4AD721" w14:textId="77777777" w:rsidR="002F7AF9" w:rsidRDefault="002F7AF9"/>
    <w:p w14:paraId="342BDB4A" w14:textId="77777777" w:rsidR="002F7AF9" w:rsidRDefault="00803368">
      <w:pPr>
        <w:spacing w:after="100" w:line="360" w:lineRule="auto"/>
        <w:jc w:val="both"/>
        <w:rPr>
          <w:b/>
          <w:i/>
        </w:rPr>
      </w:pPr>
      <w:r>
        <w:rPr>
          <w:b/>
          <w:i/>
        </w:rPr>
        <w:t>Über Science4Life e.V.</w:t>
      </w:r>
    </w:p>
    <w:p w14:paraId="1188789B" w14:textId="77777777" w:rsidR="002F7AF9" w:rsidRDefault="00803368">
      <w:pPr>
        <w:spacing w:after="120"/>
        <w:jc w:val="both"/>
        <w:rPr>
          <w:i/>
          <w:sz w:val="20"/>
          <w:szCs w:val="20"/>
        </w:rPr>
      </w:pPr>
      <w:r>
        <w:rPr>
          <w:i/>
          <w:sz w:val="20"/>
          <w:szCs w:val="20"/>
        </w:rPr>
        <w:t xml:space="preserve">Science4Life e.V. ist eine unabhängige Gründerinitiative, die bereits 1998 als Non-Profit-Organisation ins Leben gerufen wurde. Initiatoren und Sponsoren sind die Hessische Landesregierung und das Gesundheitsunternehmen Sanofi. Einmal jährlich richtet die </w:t>
      </w:r>
      <w:r>
        <w:rPr>
          <w:i/>
          <w:sz w:val="20"/>
          <w:szCs w:val="20"/>
        </w:rPr>
        <w:t>Initiative bundesweit den größten Businessplan-Wettbewerb für die Branchen Life Sciences, Chemie und Energie aus. Wettbewerbsbegleitend bietet die Science4Life Academy allen registrierten Wettbewerbsteilnehmern Weiterbildung und Coaching an. Die Gewinnerte</w:t>
      </w:r>
      <w:r>
        <w:rPr>
          <w:i/>
          <w:sz w:val="20"/>
          <w:szCs w:val="20"/>
        </w:rPr>
        <w:t>ams der einzelnen Phasen qualifizieren sich für ausgewählte Workshops im Rahmen der Academy-Days. Insgesamt werden im Rahmen des Businessplan-Wettbewerbs Preisgelder in Höhe von rund 77.000 € vergeben.</w:t>
      </w:r>
    </w:p>
    <w:p w14:paraId="3B879A2A" w14:textId="77777777" w:rsidR="002F7AF9" w:rsidRDefault="00803368">
      <w:pPr>
        <w:spacing w:after="120"/>
        <w:jc w:val="both"/>
        <w:rPr>
          <w:b/>
          <w:i/>
          <w:sz w:val="20"/>
          <w:szCs w:val="20"/>
        </w:rPr>
      </w:pPr>
      <w:r>
        <w:rPr>
          <w:i/>
          <w:sz w:val="20"/>
          <w:szCs w:val="20"/>
        </w:rPr>
        <w:t xml:space="preserve">Seit 1998 haben mehr als 9.000 Personen am Wettbewerb </w:t>
      </w:r>
      <w:r>
        <w:rPr>
          <w:i/>
          <w:sz w:val="20"/>
          <w:szCs w:val="20"/>
        </w:rPr>
        <w:t>teilgenommen und es wurden über 2.800 Geschäftsideen eingereicht und bewertet. Die Gründerinitiative besteht aus einem Netzwerk von Branchenexperten aus mehr als 300 Branchenexperten, die mit ihrem Know-how und Erfahrungen den Wettbewerbsteilnehmern zur Ve</w:t>
      </w:r>
      <w:r>
        <w:rPr>
          <w:i/>
          <w:sz w:val="20"/>
          <w:szCs w:val="20"/>
        </w:rPr>
        <w:t xml:space="preserve">rfügung stehen. Über 1.450 Unternehmen wurden erfolgreich gegründet. </w:t>
      </w:r>
      <w:hyperlink r:id="rId14">
        <w:r>
          <w:rPr>
            <w:b/>
            <w:sz w:val="20"/>
            <w:szCs w:val="20"/>
            <w:u w:val="single"/>
          </w:rPr>
          <w:t>science4life.de</w:t>
        </w:r>
      </w:hyperlink>
    </w:p>
    <w:p w14:paraId="5C321E83" w14:textId="77777777" w:rsidR="002F7AF9" w:rsidRDefault="002F7AF9"/>
    <w:sectPr w:rsidR="002F7AF9">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BE29" w14:textId="77777777" w:rsidR="00803368" w:rsidRDefault="00803368">
      <w:pPr>
        <w:spacing w:line="240" w:lineRule="auto"/>
      </w:pPr>
      <w:r>
        <w:separator/>
      </w:r>
    </w:p>
  </w:endnote>
  <w:endnote w:type="continuationSeparator" w:id="0">
    <w:p w14:paraId="45B27A6A" w14:textId="77777777" w:rsidR="00803368" w:rsidRDefault="00803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138D" w14:textId="77777777" w:rsidR="002F7AF9" w:rsidRDefault="002F7AF9">
    <w:pPr>
      <w:ind w:right="560"/>
      <w:jc w:val="both"/>
      <w:rPr>
        <w:b/>
        <w:sz w:val="16"/>
        <w:szCs w:val="16"/>
      </w:rPr>
    </w:pPr>
  </w:p>
  <w:p w14:paraId="3910EF1A" w14:textId="77777777" w:rsidR="002F7AF9" w:rsidRDefault="00803368">
    <w:pPr>
      <w:ind w:right="560"/>
      <w:jc w:val="both"/>
      <w:rPr>
        <w:sz w:val="16"/>
        <w:szCs w:val="16"/>
      </w:rPr>
    </w:pPr>
    <w:r>
      <w:rPr>
        <w:b/>
        <w:sz w:val="16"/>
        <w:szCs w:val="16"/>
      </w:rPr>
      <w:t>Kontakt:</w:t>
    </w:r>
    <w:r>
      <w:rPr>
        <w:sz w:val="16"/>
        <w:szCs w:val="16"/>
      </w:rPr>
      <w:t xml:space="preserve"> Geschäftsstelle des Science4Life e.V., Dr. Lutz Müller, Industriepark Höchs</w:t>
    </w:r>
    <w:r>
      <w:rPr>
        <w:sz w:val="16"/>
        <w:szCs w:val="16"/>
      </w:rPr>
      <w:t>t, Gebäude K 703, 65926 Frankfurt, Deutschland, Mail: presse@science4life.de, Tel.: +49 (0)69/30555050, www.science4life.de</w:t>
    </w:r>
  </w:p>
  <w:p w14:paraId="59B17AFB" w14:textId="77777777" w:rsidR="002F7AF9" w:rsidRDefault="00803368">
    <w:pPr>
      <w:ind w:right="560"/>
      <w:jc w:val="both"/>
      <w:rPr>
        <w:b/>
        <w:sz w:val="16"/>
        <w:szCs w:val="16"/>
      </w:rPr>
    </w:pPr>
    <w:r>
      <w:rPr>
        <w:b/>
        <w:sz w:val="16"/>
        <w:szCs w:val="16"/>
      </w:rPr>
      <w:t>Pressekontakt:</w:t>
    </w:r>
    <w:r>
      <w:rPr>
        <w:sz w:val="16"/>
        <w:szCs w:val="16"/>
      </w:rPr>
      <w:t xml:space="preserve"> Startup Communication, Carina Goldschmid, Leonrodstraße 58, 80636 München, Deutschland, Mail: cg@startup-communication.de, Tel.: +49 (0)89/12021926-0, www.startup-communication.de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4147" w14:textId="77777777" w:rsidR="00803368" w:rsidRDefault="00803368">
      <w:pPr>
        <w:spacing w:line="240" w:lineRule="auto"/>
      </w:pPr>
      <w:r>
        <w:separator/>
      </w:r>
    </w:p>
  </w:footnote>
  <w:footnote w:type="continuationSeparator" w:id="0">
    <w:p w14:paraId="4DA257C5" w14:textId="77777777" w:rsidR="00803368" w:rsidRDefault="00803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871A" w14:textId="77777777" w:rsidR="002F7AF9" w:rsidRDefault="00803368">
    <w:r>
      <w:rPr>
        <w:noProof/>
      </w:rPr>
      <w:drawing>
        <wp:anchor distT="0" distB="0" distL="114300" distR="114300" simplePos="0" relativeHeight="251658240" behindDoc="0" locked="0" layoutInCell="1" hidden="0" allowOverlap="1" wp14:anchorId="4D63AFF7" wp14:editId="0462779E">
          <wp:simplePos x="0" y="0"/>
          <wp:positionH relativeFrom="column">
            <wp:posOffset>4076700</wp:posOffset>
          </wp:positionH>
          <wp:positionV relativeFrom="paragraph">
            <wp:posOffset>-161920</wp:posOffset>
          </wp:positionV>
          <wp:extent cx="1784350" cy="812165"/>
          <wp:effectExtent l="0" t="0" r="0" b="0"/>
          <wp:wrapNone/>
          <wp:docPr id="5" name="image1.jpg" descr="Pitch%20Sanofi/Weitere%20Unterlagen/Logo_Sanofi.jpg"/>
          <wp:cNvGraphicFramePr/>
          <a:graphic xmlns:a="http://schemas.openxmlformats.org/drawingml/2006/main">
            <a:graphicData uri="http://schemas.openxmlformats.org/drawingml/2006/picture">
              <pic:pic xmlns:pic="http://schemas.openxmlformats.org/drawingml/2006/picture">
                <pic:nvPicPr>
                  <pic:cNvPr id="0" name="image1.jpg" descr="Pitch%20Sanofi/Weitere%20Unterlagen/Logo_Sanofi.jpg"/>
                  <pic:cNvPicPr preferRelativeResize="0"/>
                </pic:nvPicPr>
                <pic:blipFill>
                  <a:blip r:embed="rId1"/>
                  <a:srcRect t="19238" b="9126"/>
                  <a:stretch>
                    <a:fillRect/>
                  </a:stretch>
                </pic:blipFill>
                <pic:spPr>
                  <a:xfrm>
                    <a:off x="0" y="0"/>
                    <a:ext cx="1784350" cy="812165"/>
                  </a:xfrm>
                  <a:prstGeom prst="rect">
                    <a:avLst/>
                  </a:prstGeom>
                  <a:ln/>
                </pic:spPr>
              </pic:pic>
            </a:graphicData>
          </a:graphic>
        </wp:anchor>
      </w:drawing>
    </w:r>
  </w:p>
  <w:p w14:paraId="77D4AA70" w14:textId="77777777" w:rsidR="002F7AF9" w:rsidRDefault="002F7AF9"/>
  <w:p w14:paraId="349B7B28" w14:textId="77777777" w:rsidR="002F7AF9" w:rsidRDefault="002F7AF9">
    <w:pPr>
      <w:rPr>
        <w:rFonts w:ascii="Calibri" w:eastAsia="Calibri" w:hAnsi="Calibri" w:cs="Calibri"/>
        <w:sz w:val="24"/>
        <w:szCs w:val="24"/>
      </w:rPr>
    </w:pPr>
  </w:p>
  <w:p w14:paraId="4BD079BC" w14:textId="77777777" w:rsidR="002F7AF9" w:rsidRDefault="002F7AF9">
    <w:pPr>
      <w:tabs>
        <w:tab w:val="center" w:pos="4536"/>
        <w:tab w:val="right" w:pos="9072"/>
      </w:tabs>
      <w:spacing w:line="240" w:lineRule="auto"/>
      <w:rPr>
        <w:b/>
        <w:color w:val="808080"/>
        <w:sz w:val="24"/>
        <w:szCs w:val="24"/>
      </w:rPr>
    </w:pPr>
  </w:p>
  <w:p w14:paraId="17DAF0B9" w14:textId="77777777" w:rsidR="002F7AF9" w:rsidRDefault="00803368">
    <w:pPr>
      <w:tabs>
        <w:tab w:val="center" w:pos="4536"/>
        <w:tab w:val="right" w:pos="9072"/>
      </w:tabs>
      <w:spacing w:after="120" w:line="240" w:lineRule="auto"/>
    </w:pPr>
    <w:r>
      <w:rPr>
        <w:b/>
        <w:color w:val="808080"/>
        <w:sz w:val="24"/>
        <w:szCs w:val="24"/>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F9"/>
    <w:rsid w:val="002F7AF9"/>
    <w:rsid w:val="00803368"/>
    <w:rsid w:val="00FD3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039B3B"/>
  <w15:docId w15:val="{9291DB71-5F22-AB4D-B927-78012832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paragraph" w:styleId="Sprechblasentext">
    <w:name w:val="Balloon Text"/>
    <w:basedOn w:val="Standard"/>
    <w:link w:val="SprechblasentextZchn"/>
    <w:uiPriority w:val="99"/>
    <w:semiHidden/>
    <w:unhideWhenUsed/>
    <w:rsid w:val="000B4E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EB5"/>
    <w:rPr>
      <w:rFonts w:ascii="Segoe UI" w:hAnsi="Segoe UI" w:cs="Segoe UI"/>
      <w:sz w:val="18"/>
      <w:szCs w:val="18"/>
    </w:rPr>
  </w:style>
  <w:style w:type="character" w:styleId="Kommentarzeichen">
    <w:name w:val="annotation reference"/>
    <w:basedOn w:val="Absatz-Standardschriftart"/>
    <w:uiPriority w:val="99"/>
    <w:semiHidden/>
    <w:unhideWhenUsed/>
    <w:rsid w:val="000B4EB5"/>
    <w:rPr>
      <w:sz w:val="16"/>
      <w:szCs w:val="16"/>
    </w:rPr>
  </w:style>
  <w:style w:type="paragraph" w:styleId="Kommentartext">
    <w:name w:val="annotation text"/>
    <w:basedOn w:val="Standard"/>
    <w:link w:val="KommentartextZchn"/>
    <w:uiPriority w:val="99"/>
    <w:semiHidden/>
    <w:unhideWhenUsed/>
    <w:rsid w:val="000B4E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B5"/>
    <w:rPr>
      <w:sz w:val="20"/>
      <w:szCs w:val="20"/>
    </w:rPr>
  </w:style>
  <w:style w:type="paragraph" w:styleId="Kommentarthema">
    <w:name w:val="annotation subject"/>
    <w:basedOn w:val="Kommentartext"/>
    <w:next w:val="Kommentartext"/>
    <w:link w:val="KommentarthemaZchn"/>
    <w:uiPriority w:val="99"/>
    <w:semiHidden/>
    <w:unhideWhenUsed/>
    <w:rsid w:val="000B4EB5"/>
    <w:rPr>
      <w:b/>
      <w:bCs/>
    </w:rPr>
  </w:style>
  <w:style w:type="character" w:customStyle="1" w:styleId="KommentarthemaZchn">
    <w:name w:val="Kommentarthema Zchn"/>
    <w:basedOn w:val="KommentartextZchn"/>
    <w:link w:val="Kommentarthema"/>
    <w:uiPriority w:val="99"/>
    <w:semiHidden/>
    <w:rsid w:val="000B4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cerasleeve/" TargetMode="External"/><Relationship Id="rId13" Type="http://schemas.openxmlformats.org/officeDocument/2006/relationships/hyperlink" Target="http://www.adaptx.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cure.vision" TargetMode="External"/><Relationship Id="rId12" Type="http://schemas.openxmlformats.org/officeDocument/2006/relationships/hyperlink" Target="http://www.hydrogene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lluther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company/quasar-therapeutics" TargetMode="External"/><Relationship Id="rId4" Type="http://schemas.openxmlformats.org/officeDocument/2006/relationships/webSettings" Target="webSettings.xml"/><Relationship Id="rId9" Type="http://schemas.openxmlformats.org/officeDocument/2006/relationships/hyperlink" Target="http://www.tenta-vision.de" TargetMode="External"/><Relationship Id="rId14" Type="http://schemas.openxmlformats.org/officeDocument/2006/relationships/hyperlink" Target="https://science4lif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FgO6P1VIC8zaz9ofZcABtXDlQ==">CgMxLjA4AHIhMXBRS0R5eXo0SV94OUtFejI2LUhPWTVVbXd2RW03bWk4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6578</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dc:creator>
  <cp:lastModifiedBy>Kristina Gössler – Startup Communication</cp:lastModifiedBy>
  <cp:revision>2</cp:revision>
  <dcterms:created xsi:type="dcterms:W3CDTF">2022-07-01T08:35:00Z</dcterms:created>
  <dcterms:modified xsi:type="dcterms:W3CDTF">2024-07-02T10:04:00Z</dcterms:modified>
</cp:coreProperties>
</file>